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5D" w:rsidRDefault="00157E5D">
      <w:pPr>
        <w:pStyle w:val="Standard"/>
      </w:pPr>
      <w:bookmarkStart w:id="0" w:name="_GoBack"/>
      <w:bookmarkEnd w:id="0"/>
    </w:p>
    <w:tbl>
      <w:tblPr>
        <w:tblW w:w="48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3"/>
      </w:tblGrid>
      <w:tr w:rsidR="00157E5D">
        <w:tblPrEx>
          <w:tblCellMar>
            <w:top w:w="0" w:type="dxa"/>
            <w:bottom w:w="0" w:type="dxa"/>
          </w:tblCellMar>
        </w:tblPrEx>
        <w:trPr>
          <w:trHeight w:val="2461"/>
        </w:trPr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5D" w:rsidRDefault="007D314E">
            <w:pPr>
              <w:pStyle w:val="Standard"/>
              <w:snapToGrid w:val="0"/>
              <w:jc w:val="center"/>
            </w:pPr>
            <w:r>
              <w:rPr>
                <w:noProof/>
                <w:lang/>
              </w:rPr>
              <w:drawing>
                <wp:inline distT="0" distB="0" distL="0" distR="0">
                  <wp:extent cx="485280" cy="570240"/>
                  <wp:effectExtent l="0" t="0" r="0" b="1260"/>
                  <wp:docPr id="1" name="grb srbij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80" cy="57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E5D" w:rsidRDefault="007D314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Република Србија</w:t>
            </w:r>
          </w:p>
          <w:p w:rsidR="00157E5D" w:rsidRDefault="007D314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 ЈАВНО</w:t>
            </w:r>
          </w:p>
          <w:p w:rsidR="00157E5D" w:rsidRDefault="007D314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ТУЖИЛАШТВО</w:t>
            </w:r>
          </w:p>
          <w:p w:rsidR="00157E5D" w:rsidRDefault="007D314E">
            <w:pPr>
              <w:pStyle w:val="Standard"/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бр. </w:t>
            </w:r>
            <w:r>
              <w:rPr>
                <w:b/>
                <w:bCs/>
                <w:sz w:val="28"/>
                <w:szCs w:val="28"/>
                <w:lang/>
              </w:rPr>
              <w:t>183</w:t>
            </w:r>
            <w:r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  <w:lang/>
              </w:rPr>
              <w:t>7</w:t>
            </w:r>
          </w:p>
          <w:p w:rsidR="00157E5D" w:rsidRDefault="007D314E">
            <w:pPr>
              <w:pStyle w:val="Standard"/>
              <w:jc w:val="center"/>
            </w:pPr>
            <w:r>
              <w:rPr>
                <w:sz w:val="28"/>
                <w:szCs w:val="28"/>
                <w:lang/>
              </w:rPr>
              <w:t>06.02.2017</w:t>
            </w:r>
            <w:r>
              <w:rPr>
                <w:sz w:val="28"/>
                <w:szCs w:val="28"/>
              </w:rPr>
              <w:t>.године.</w:t>
            </w:r>
          </w:p>
          <w:p w:rsidR="00157E5D" w:rsidRDefault="007D314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</w:t>
            </w:r>
          </w:p>
          <w:p w:rsidR="00157E5D" w:rsidRDefault="007D314E">
            <w:pPr>
              <w:pStyle w:val="Standard"/>
              <w:jc w:val="center"/>
            </w:pPr>
            <w:r>
              <w:rPr>
                <w:sz w:val="28"/>
                <w:szCs w:val="28"/>
                <w:lang/>
              </w:rPr>
              <w:t>СЛС</w:t>
            </w:r>
            <w:r>
              <w:rPr>
                <w:sz w:val="28"/>
                <w:szCs w:val="28"/>
              </w:rPr>
              <w:t>/ИС</w:t>
            </w:r>
          </w:p>
        </w:tc>
      </w:tr>
    </w:tbl>
    <w:p w:rsidR="00157E5D" w:rsidRDefault="007D314E">
      <w:pPr>
        <w:pStyle w:val="Standard"/>
      </w:pPr>
      <w:r>
        <w:t xml:space="preserve">                                                           </w:t>
      </w:r>
      <w:r>
        <w:rPr>
          <w:b/>
          <w:bCs/>
        </w:rPr>
        <w:t xml:space="preserve">  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На основу чл. 39. и 40. Закона о слободном приступу информацијама од јавног значаја („Сл.Гл.РС“ бр.120/2004,54/2007 и 104/2009 и 36/10) и чл.2. </w:t>
      </w:r>
      <w:r>
        <w:rPr>
          <w:sz w:val="28"/>
          <w:szCs w:val="28"/>
        </w:rPr>
        <w:t xml:space="preserve">Упуства за израду и објављивање информатора о раду државних органа („Сл.Гл.РС“ бр.68/2010), вф. јавног тужиоца у Основном јавном тужилаштву у Бору, дана </w:t>
      </w:r>
      <w:r>
        <w:rPr>
          <w:sz w:val="28"/>
          <w:szCs w:val="28"/>
          <w:lang/>
        </w:rPr>
        <w:t>06.02.2017</w:t>
      </w:r>
      <w:r>
        <w:rPr>
          <w:sz w:val="28"/>
          <w:szCs w:val="28"/>
        </w:rPr>
        <w:t>.године, доноси: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И Н Ф О Р М А Т О Р  О  РАДУ</w:t>
      </w:r>
    </w:p>
    <w:p w:rsidR="00157E5D" w:rsidRDefault="007D314E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ОСНОВНОГ ЈАВНОГ ТУЖИЛАШ</w:t>
      </w:r>
      <w:r>
        <w:rPr>
          <w:b/>
          <w:bCs/>
          <w:sz w:val="28"/>
          <w:szCs w:val="28"/>
        </w:rPr>
        <w:t>ТВА У БОРУ ЗА 2016. ГОДИНУ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 ОСНОВНИ ПОДАЦИ О ОСНОВНОМ ЈАВНОМ ТУЖИЛАШТВУ У БОРУ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ОСНОВНО ЈАВНО ТУЖИЛАШТВО БОР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Адреса,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контакт телефон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Моше Пијаде бр.3                                       030/422-290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Бор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Основни јавни тужилац                              030/422-290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Матични број                                               17773453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Шифра делатности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/>
        </w:rPr>
        <w:t>8423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Текући рачун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840-</w:t>
      </w:r>
      <w:r>
        <w:rPr>
          <w:sz w:val="28"/>
          <w:szCs w:val="28"/>
          <w:lang/>
        </w:rPr>
        <w:t>1620</w:t>
      </w:r>
      <w:r>
        <w:rPr>
          <w:sz w:val="28"/>
          <w:szCs w:val="28"/>
        </w:rPr>
        <w:t>-</w:t>
      </w:r>
      <w:r>
        <w:rPr>
          <w:sz w:val="28"/>
          <w:szCs w:val="28"/>
          <w:lang/>
        </w:rPr>
        <w:t>21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 ОВЛАШЋЕЊЕ И ОБАВЕЗЕ ОСНОВНОГ ЈАВНОГ </w:t>
      </w:r>
      <w:r>
        <w:rPr>
          <w:b/>
          <w:bCs/>
          <w:sz w:val="28"/>
          <w:szCs w:val="28"/>
        </w:rPr>
        <w:t>ТУЖИЛАШТВА У БОРУ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Основно јавно тужилаштво у Бору, према Закону о седиштима и подручјима  судова и јавних тужилаштава („Сл.Гл.РС“ бр.101/13 ), поступа пред Основним судом у Бору, чија месна надлежност се простире на територији општине Бор.</w:t>
      </w:r>
    </w:p>
    <w:p w:rsidR="00157E5D" w:rsidRDefault="00157E5D">
      <w:pPr>
        <w:pStyle w:val="Standard"/>
        <w:jc w:val="both"/>
      </w:pP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             .../2...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 јавно тужилаштво у Бору је самостални државни орган који гони учиниоце кривичних дела и других кажњивих дела и предузима мере за заштиту</w:t>
      </w:r>
      <w:r>
        <w:rPr>
          <w:sz w:val="28"/>
          <w:szCs w:val="28"/>
        </w:rPr>
        <w:t xml:space="preserve"> уставности и законитости.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Своју функцију тужилаштво врши на основу Устава, закона и прописа донетих на основу закона.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Стварна надлежност Основног јавног тужилаштва у Бору, регулисана је одредбом чл.22. Закона о уређењу судова („Сл.Гл.РС“ бр.116/08,104/0</w:t>
      </w:r>
      <w:r>
        <w:rPr>
          <w:sz w:val="28"/>
          <w:szCs w:val="28"/>
        </w:rPr>
        <w:t>9 и 101/13), обзиром да тужилаштво поступа пред Основним судом у Бору, а који је стварно надлежан да у првом степену суди за кривична дела за која је као главна казна предвиђена новчана казна или казна затвора до 10 година, ако за поједина од њих није надл</w:t>
      </w:r>
      <w:r>
        <w:rPr>
          <w:sz w:val="28"/>
          <w:szCs w:val="28"/>
        </w:rPr>
        <w:t>ежан други суд.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Просторије Основног јавног тужилаштва у Бору се налазе у згради општине Бор.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/>
        </w:rPr>
        <w:t xml:space="preserve">3. </w:t>
      </w:r>
      <w:r>
        <w:rPr>
          <w:b/>
          <w:bCs/>
          <w:sz w:val="28"/>
          <w:szCs w:val="28"/>
        </w:rPr>
        <w:t>ОРГАНИЗАЦИОНА СТРУКТУРА ОСНОВНОГ ЈАВНОГ ТУЖИЛАШТВА У БОРУ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Према Правилнику о унутрашњем уређењу и систематизацији радних места у Основном јавном тужилаштву</w:t>
      </w:r>
      <w:r>
        <w:rPr>
          <w:sz w:val="28"/>
          <w:szCs w:val="28"/>
        </w:rPr>
        <w:t xml:space="preserve"> у Бору, који је донела вф.јавног тужилац, 27.01.2016.године, за обављање послова из делокруга Основног јавног тужилаштва у Бору, систематизовано је 6 радних места са 8 запослених. Јавнотужилачку функцију у тужилаштву обавља вф. јавног тужиоца и </w:t>
      </w:r>
      <w:r>
        <w:rPr>
          <w:sz w:val="28"/>
          <w:szCs w:val="28"/>
          <w:lang/>
        </w:rPr>
        <w:t>3</w:t>
      </w:r>
      <w:r>
        <w:rPr>
          <w:sz w:val="28"/>
          <w:szCs w:val="28"/>
        </w:rPr>
        <w:t xml:space="preserve"> заменика</w:t>
      </w:r>
      <w:r>
        <w:rPr>
          <w:sz w:val="28"/>
          <w:szCs w:val="28"/>
        </w:rPr>
        <w:t xml:space="preserve"> јавног тужиоца.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Радни задаци и послови који се обављају у тужилаштву, обављају се у следећим организационим јединицама: писарници (кривично одељење) и рачуноводству и техничкој служби.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Радом јавног тужилаштва руководи вф.јавног тужиоца </w:t>
      </w:r>
      <w:r>
        <w:rPr>
          <w:b/>
          <w:bCs/>
          <w:sz w:val="28"/>
          <w:szCs w:val="28"/>
          <w:lang/>
        </w:rPr>
        <w:t>Славица Лукић Ста</w:t>
      </w:r>
      <w:r>
        <w:rPr>
          <w:b/>
          <w:bCs/>
          <w:sz w:val="28"/>
          <w:szCs w:val="28"/>
          <w:lang/>
        </w:rPr>
        <w:t>летовић</w:t>
      </w:r>
      <w:r>
        <w:rPr>
          <w:sz w:val="28"/>
          <w:szCs w:val="28"/>
        </w:rPr>
        <w:t>, која је носилац управе у јавном тужилаштву и одговорна је за правилан и благовремен рад у јавном тужилаштву. Јавно тужилаштво чине, јавни тужилац, заменици јавног тужиоца и запослени који обављају стручне, административне, техничке и друге послове</w:t>
      </w:r>
      <w:r>
        <w:rPr>
          <w:sz w:val="28"/>
          <w:szCs w:val="28"/>
        </w:rPr>
        <w:t>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Јавни тужилац руководи јавним тужилаштвом, вршећи послове и овлашћења у вези са организацијом рада, матерјалним, финансиским, административним и другим пословима, којима се обезбеђује правилан, тачан, благовремен и законит рад јавног тужилаштва.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Стара </w:t>
      </w:r>
      <w:r>
        <w:rPr>
          <w:sz w:val="28"/>
          <w:szCs w:val="28"/>
        </w:rPr>
        <w:t>се о одржавању самосталности и угледа јавног тужилаштва употреби обележја јавног тужилаштва као и службеног језика и писма.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Врши уређење и организацију рада јавног тужилаштва, стара се о уједначеном и благовременом поступању и коришћењу најефикаснијих мет</w:t>
      </w:r>
      <w:r>
        <w:rPr>
          <w:sz w:val="28"/>
          <w:szCs w:val="28"/>
        </w:rPr>
        <w:t>ода и техничких средстава у административном пословању.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Поступа по притужбама и представкама грађана на рад заменика јавног тужиоца и особља у јавном тужилаштву.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.../3...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Јавни тужилац врши лично или преко заменика кога одреди обавештавање јавности на начин предвиђем Законом и Правилником о управи у јавном тужилаштву, стара се о законитом односу према другим државним органима, грађанима и  јавн</w:t>
      </w:r>
      <w:r>
        <w:rPr>
          <w:sz w:val="28"/>
          <w:szCs w:val="28"/>
        </w:rPr>
        <w:t>ости, као и о заштити података.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Одлучује о начину вођења уписника, помоћних књига, именика и других евиденција, одлучује о начину руковања привремено одузетим предметима и стварима од вредности, као и о поступању са архивским материјалом и вођењем статист</w:t>
      </w:r>
      <w:r>
        <w:rPr>
          <w:sz w:val="28"/>
          <w:szCs w:val="28"/>
        </w:rPr>
        <w:t>ике.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Поред наведеног обрађује кривичне пријаве и остала писмена која се достављају јавном тужилаштву, упознаје се са првостепеним и другостепеним пресудама надлежних тужилаштава и одлучује о даљем раду по њима, врши контролу, рада по уписницима и помоћним</w:t>
      </w:r>
      <w:r>
        <w:rPr>
          <w:sz w:val="28"/>
          <w:szCs w:val="28"/>
        </w:rPr>
        <w:t xml:space="preserve"> књигама, руководи предистражним поступком, проводи поступак истраге присуствује главним претресима, а самостално обрађује А предмете.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Јавни тужилац саставља распоред приправности заменика јавог тужиоца и других запослених, а током њихове приправности кон</w:t>
      </w:r>
      <w:r>
        <w:rPr>
          <w:sz w:val="28"/>
          <w:szCs w:val="28"/>
        </w:rPr>
        <w:t>тактира са њима, ради консултација.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Обавештава Републичко јавно тужилаштво о свим значајнијим предметима и догађајима, саставља потребне извештаје и анализе за Виша јавна тужилаштва.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Саставља план коришћења годишњих одмора, одлучује о правима и дужностим</w:t>
      </w:r>
      <w:r>
        <w:rPr>
          <w:sz w:val="28"/>
          <w:szCs w:val="28"/>
        </w:rPr>
        <w:t>а заменика јавног тужиоца и запослених, води рачуна о кадровској попуњености, прати радну дисциплину, ажурност, стручност и успешност у извршавању послова и радних задатака.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Послове јавног тужиоца, у његовом одсуству или спречености да руководи јавним </w:t>
      </w:r>
      <w:r>
        <w:rPr>
          <w:sz w:val="28"/>
          <w:szCs w:val="28"/>
        </w:rPr>
        <w:t>тужилаштвом, обавља заменик јавног тужиоца, кога он одреди (први заменик).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Заменици јавног тужиоца обављају самостално послове, који су им поверени од стране јавног тужиоца и послове који су им додељени распоредом. Функцију заменика јавног тужиоца у Основ</w:t>
      </w:r>
      <w:r>
        <w:rPr>
          <w:sz w:val="28"/>
          <w:szCs w:val="28"/>
        </w:rPr>
        <w:t xml:space="preserve">ном јавном тужилаштву у Бору </w:t>
      </w:r>
      <w:r>
        <w:rPr>
          <w:sz w:val="28"/>
          <w:szCs w:val="28"/>
          <w:lang/>
        </w:rPr>
        <w:t xml:space="preserve">у тренутку сачињавања Информатора о раду </w:t>
      </w:r>
      <w:r>
        <w:rPr>
          <w:sz w:val="28"/>
          <w:szCs w:val="28"/>
        </w:rPr>
        <w:t>врш</w:t>
      </w:r>
      <w:r>
        <w:rPr>
          <w:sz w:val="28"/>
          <w:szCs w:val="28"/>
          <w:lang/>
        </w:rPr>
        <w:t xml:space="preserve">и </w:t>
      </w:r>
      <w:r>
        <w:rPr>
          <w:b/>
          <w:bCs/>
          <w:sz w:val="28"/>
          <w:szCs w:val="28"/>
        </w:rPr>
        <w:t>Марина Ћирић.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Замениц</w:t>
      </w:r>
      <w:r>
        <w:rPr>
          <w:sz w:val="28"/>
          <w:szCs w:val="28"/>
          <w:lang/>
        </w:rPr>
        <w:t>а</w:t>
      </w:r>
      <w:r>
        <w:rPr>
          <w:sz w:val="28"/>
          <w:szCs w:val="28"/>
        </w:rPr>
        <w:t xml:space="preserve"> јавног тужиоца за свој рад одговара јавном тужиоцу.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На месту Вишег тужилачког сарадника ради </w:t>
      </w:r>
      <w:r>
        <w:rPr>
          <w:b/>
          <w:bCs/>
          <w:sz w:val="28"/>
          <w:szCs w:val="28"/>
        </w:rPr>
        <w:t>Иван Стојановић</w:t>
      </w:r>
      <w:r>
        <w:rPr>
          <w:sz w:val="28"/>
          <w:szCs w:val="28"/>
        </w:rPr>
        <w:t>, који помаже у раду јавном тужиоцу и заменицима</w:t>
      </w:r>
      <w:r>
        <w:rPr>
          <w:sz w:val="28"/>
          <w:szCs w:val="28"/>
        </w:rPr>
        <w:t xml:space="preserve"> јавног тужиоца израђује нацрте одлука и других аката и самостално или под надзором врши друге послове предвиђене законом.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писарници се обављају административни послови, врши експедиција поште, пријем писама, као и дактилографски послови у вези са радом</w:t>
      </w:r>
      <w:r>
        <w:rPr>
          <w:sz w:val="28"/>
          <w:szCs w:val="28"/>
        </w:rPr>
        <w:t xml:space="preserve"> и потребама јавног тужилаштва.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У писарници странке могу да се информишу о кретању предмета, имену обрађивача предмета. Разматрају и преписују поједине списе из предмета, те 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затраже препис или фотокопију списа из предмета уз сагласност јавног тужиоца или заменика кога он одреди. У писарници странке могу да поднесу кривичну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     …/</w:t>
      </w:r>
      <w:r>
        <w:rPr>
          <w:sz w:val="28"/>
          <w:szCs w:val="28"/>
          <w:lang/>
        </w:rPr>
        <w:t>4...</w:t>
      </w:r>
    </w:p>
    <w:p w:rsidR="00157E5D" w:rsidRDefault="00157E5D">
      <w:pPr>
        <w:pStyle w:val="Standard"/>
        <w:jc w:val="both"/>
        <w:rPr>
          <w:sz w:val="28"/>
          <w:szCs w:val="28"/>
          <w:lang/>
        </w:rPr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пријаву, представку, притужбу или други поднесак. У писарници се врши архивирање и чување првноснажно решених предмета.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писарници Основног јавног тужилаштва у Бору раде: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 xml:space="preserve">Дијана Петковић </w:t>
      </w:r>
      <w:r>
        <w:rPr>
          <w:sz w:val="28"/>
          <w:szCs w:val="28"/>
        </w:rPr>
        <w:t>- уписничар и руководилац писарнице.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 xml:space="preserve">Миодраг Игњатовић </w:t>
      </w:r>
      <w:r>
        <w:rPr>
          <w:sz w:val="28"/>
          <w:szCs w:val="28"/>
        </w:rPr>
        <w:t>- уписничар.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/>
        </w:rPr>
        <w:t xml:space="preserve">- </w:t>
      </w:r>
      <w:r>
        <w:rPr>
          <w:b/>
          <w:bCs/>
          <w:sz w:val="28"/>
          <w:szCs w:val="28"/>
          <w:lang/>
        </w:rPr>
        <w:t>Дејан Перић</w:t>
      </w:r>
      <w:r>
        <w:rPr>
          <w:sz w:val="28"/>
          <w:szCs w:val="28"/>
          <w:lang/>
        </w:rPr>
        <w:t xml:space="preserve"> – уписничар (радник на одређено време)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-Стана Спасић - </w:t>
      </w:r>
      <w:r>
        <w:rPr>
          <w:sz w:val="28"/>
          <w:szCs w:val="28"/>
        </w:rPr>
        <w:t>административно технички секретар.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>Бранка Првуловић -</w:t>
      </w:r>
      <w:r>
        <w:rPr>
          <w:sz w:val="28"/>
          <w:szCs w:val="28"/>
        </w:rPr>
        <w:t xml:space="preserve"> дактилограф.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/>
        </w:rPr>
        <w:t xml:space="preserve">Гордана Поповић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дактилограф </w:t>
      </w:r>
      <w:r>
        <w:rPr>
          <w:sz w:val="28"/>
          <w:szCs w:val="28"/>
          <w:lang/>
        </w:rPr>
        <w:t>(радник на одр</w:t>
      </w:r>
      <w:r>
        <w:rPr>
          <w:sz w:val="28"/>
          <w:szCs w:val="28"/>
          <w:lang/>
        </w:rPr>
        <w:t>еђено време)</w:t>
      </w:r>
      <w:r>
        <w:rPr>
          <w:sz w:val="28"/>
          <w:szCs w:val="28"/>
        </w:rPr>
        <w:t>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У рачуноводсту ради </w:t>
      </w:r>
      <w:r>
        <w:rPr>
          <w:b/>
          <w:bCs/>
          <w:sz w:val="28"/>
          <w:szCs w:val="28"/>
        </w:rPr>
        <w:t xml:space="preserve">Лидија Милановић </w:t>
      </w:r>
      <w:r>
        <w:rPr>
          <w:sz w:val="28"/>
          <w:szCs w:val="28"/>
        </w:rPr>
        <w:t>- шеф рачуноводства.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У техничкој служби на пословима возача - достављача ради </w:t>
      </w:r>
      <w:r>
        <w:rPr>
          <w:b/>
          <w:bCs/>
          <w:sz w:val="28"/>
          <w:szCs w:val="28"/>
        </w:rPr>
        <w:t>Драган Јеремић.</w:t>
      </w:r>
    </w:p>
    <w:tbl>
      <w:tblPr>
        <w:tblW w:w="9667" w:type="dxa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7"/>
      </w:tblGrid>
      <w:tr w:rsidR="00157E5D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9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both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 xml:space="preserve">                  Јавни тужилац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both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 xml:space="preserve">          Заменици јавног тужиоца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both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 xml:space="preserve">             Тужилачки помоћник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both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 xml:space="preserve">            Дражавни службеници</w:t>
            </w:r>
          </w:p>
          <w:p w:rsidR="00157E5D" w:rsidRDefault="007D314E">
            <w:pPr>
              <w:pStyle w:val="TableContents"/>
              <w:jc w:val="both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 xml:space="preserve">                  и намештеници</w:t>
            </w:r>
          </w:p>
        </w:tc>
      </w:tr>
    </w:tbl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center"/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/>
        </w:rPr>
        <w:t xml:space="preserve">4. </w:t>
      </w:r>
      <w:r>
        <w:rPr>
          <w:b/>
          <w:bCs/>
          <w:sz w:val="28"/>
          <w:szCs w:val="28"/>
        </w:rPr>
        <w:t>ПОДАЦИ О ОДОБРЕНОМ БУЏЕТУ ЗА 2016.ГОДИНУ И О ОСТВАРЕНИМ И УТРОШЕНИМ СРЕДСТВИМА У ТОКУ ТЕ ГОДИНЕ</w:t>
      </w:r>
    </w:p>
    <w:p w:rsidR="00157E5D" w:rsidRDefault="00157E5D">
      <w:pPr>
        <w:pStyle w:val="Standard"/>
        <w:jc w:val="center"/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На основу Одлуке о расподели средстава за правосудне органе у оквиру средстава одобрен</w:t>
      </w:r>
      <w:r>
        <w:rPr>
          <w:sz w:val="28"/>
          <w:szCs w:val="28"/>
        </w:rPr>
        <w:t>их у буџету за 2016.годину, Основном јавном тужилаштву у Бору одобрена су средства за 2016.годину по следећим шифрама економске класификације и то: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157E5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421- СТАЛНИ ТРОШКОВИ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right"/>
            </w:pPr>
            <w:r>
              <w:t>474.000,00 дин.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422- ТРОШКОВИ ПУТОВАЊА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right"/>
            </w:pPr>
            <w:r>
              <w:t>20.000,00 дин.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423- УСЛУГЕ ПО УГОВОРУ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right"/>
            </w:pPr>
            <w:r>
              <w:t>5.867.000,00 дин.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425- ТЕКУЋА ПОПРАВКА И ОДРЖАВАЊЕ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right"/>
            </w:pPr>
            <w:r>
              <w:t>120.000,00 дин.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426- МАТЕРЈАЛ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right"/>
            </w:pPr>
            <w:r>
              <w:t>388.000,00 дин.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rPr>
                <w:b/>
                <w:bCs/>
              </w:rPr>
              <w:t>УКУПНО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right"/>
            </w:pPr>
            <w:r>
              <w:rPr>
                <w:b/>
                <w:bCs/>
              </w:rPr>
              <w:t xml:space="preserve"> 6.869.000,00 дин.</w:t>
            </w:r>
          </w:p>
        </w:tc>
      </w:tr>
    </w:tbl>
    <w:p w:rsidR="00157E5D" w:rsidRDefault="007D314E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.../5...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Подаци о </w:t>
      </w:r>
      <w:r>
        <w:rPr>
          <w:sz w:val="28"/>
          <w:szCs w:val="28"/>
        </w:rPr>
        <w:t>оствареним , утрошеним и планираним средствима у току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 xml:space="preserve">                         текуће године закључно са 31.12.2016.године</w:t>
      </w:r>
      <w:r>
        <w:rPr>
          <w:sz w:val="28"/>
          <w:szCs w:val="28"/>
        </w:rPr>
        <w:tab/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395"/>
        <w:gridCol w:w="2424"/>
      </w:tblGrid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157E5D">
            <w:pPr>
              <w:pStyle w:val="TableContents"/>
              <w:jc w:val="both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остварено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утрошено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планирано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413-накнаде за превоз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2.000,00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0,00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75.000,00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</w:pPr>
            <w:r>
              <w:t xml:space="preserve">415- </w:t>
            </w:r>
            <w:r>
              <w:rPr>
                <w:lang/>
              </w:rPr>
              <w:t>накнаде у натури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592.756,00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497.935,00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620.000,00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414-</w:t>
            </w:r>
            <w:r>
              <w:rPr>
                <w:lang/>
              </w:rPr>
              <w:t>помоћ.радници</w:t>
            </w:r>
            <w:r>
              <w:t xml:space="preserve"> 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1.172.034,63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1.171.257,00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515.000,00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421-стални трошкови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532.344,47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531.111,71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665.000,00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422-</w:t>
            </w:r>
            <w:r>
              <w:rPr>
                <w:sz w:val="22"/>
                <w:szCs w:val="22"/>
                <w:lang/>
              </w:rPr>
              <w:t>трошкови путовања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20.000,00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19.313,00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20.000,00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423-услуге по уговору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5.878.257,52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5.878.256,35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5.050.000,00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425-тек.попр. и одрж.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120.000,00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119.999,40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250.000,00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426- матерјал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388.000,00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387.925,58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640.000,00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t>482- таксе</w:t>
            </w:r>
            <w:r>
              <w:tab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16.000,00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15.876,90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20.000,00</w:t>
            </w:r>
          </w:p>
        </w:tc>
      </w:tr>
      <w:tr w:rsidR="00157E5D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Standard"/>
              <w:jc w:val="both"/>
            </w:pPr>
            <w:r>
              <w:rPr>
                <w:b/>
                <w:bCs/>
              </w:rPr>
              <w:t>Укупно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8,721.392,62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8.621.674,94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E5D" w:rsidRDefault="007D314E">
            <w:pPr>
              <w:pStyle w:val="TableContents"/>
              <w:jc w:val="center"/>
              <w:rPr>
                <w:lang/>
              </w:rPr>
            </w:pPr>
            <w:r>
              <w:rPr>
                <w:lang/>
              </w:rPr>
              <w:t>7.855.000,00</w:t>
            </w:r>
          </w:p>
        </w:tc>
      </w:tr>
    </w:tbl>
    <w:p w:rsidR="00157E5D" w:rsidRDefault="00157E5D">
      <w:pPr>
        <w:pStyle w:val="Standard"/>
        <w:jc w:val="center"/>
        <w:rPr>
          <w:b/>
          <w:bCs/>
          <w:sz w:val="28"/>
          <w:szCs w:val="28"/>
          <w:lang/>
        </w:rPr>
      </w:pPr>
    </w:p>
    <w:p w:rsidR="00157E5D" w:rsidRDefault="007D314E">
      <w:pPr>
        <w:pStyle w:val="Standard"/>
        <w:jc w:val="center"/>
      </w:pPr>
      <w:r>
        <w:rPr>
          <w:b/>
          <w:bCs/>
          <w:sz w:val="28"/>
          <w:szCs w:val="28"/>
          <w:lang/>
        </w:rPr>
        <w:t xml:space="preserve">5. </w:t>
      </w:r>
      <w:r>
        <w:rPr>
          <w:b/>
          <w:bCs/>
          <w:sz w:val="28"/>
          <w:szCs w:val="28"/>
        </w:rPr>
        <w:t>ПОДАЦИ О СРЕДСТВИМА РАДА</w:t>
      </w:r>
    </w:p>
    <w:p w:rsidR="00157E5D" w:rsidRDefault="00157E5D">
      <w:pPr>
        <w:pStyle w:val="Standard"/>
        <w:jc w:val="center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/>
        </w:rPr>
        <w:t xml:space="preserve">1. </w:t>
      </w:r>
      <w:r>
        <w:rPr>
          <w:sz w:val="28"/>
          <w:szCs w:val="28"/>
        </w:rPr>
        <w:t xml:space="preserve">ПУТНИЧКО МОТОРНО ВОЗИЛО МАРКЕ ШКОДА ФАБИА КЛАСИК </w:t>
      </w:r>
      <w:r>
        <w:rPr>
          <w:sz w:val="28"/>
          <w:szCs w:val="28"/>
        </w:rPr>
        <w:t>1,2 , коме је садашња књиговодствена вредност једнака нули.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2. ТЕХНИЧКА СРЕДСТВА У ВРЕДНОСТИ ОД </w:t>
      </w:r>
      <w:r>
        <w:rPr>
          <w:b/>
          <w:bCs/>
          <w:sz w:val="28"/>
          <w:szCs w:val="28"/>
        </w:rPr>
        <w:t>206.948,94</w:t>
      </w:r>
      <w:r>
        <w:rPr>
          <w:sz w:val="28"/>
          <w:szCs w:val="28"/>
        </w:rPr>
        <w:t xml:space="preserve">  ДИНАРА,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 рачунари</w:t>
      </w:r>
      <w:r>
        <w:rPr>
          <w:sz w:val="28"/>
          <w:szCs w:val="28"/>
        </w:rPr>
        <w:tab/>
        <w:t>6 ком.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скенер</w:t>
      </w:r>
      <w:r>
        <w:rPr>
          <w:sz w:val="28"/>
          <w:szCs w:val="28"/>
        </w:rPr>
        <w:tab/>
        <w:t>1 ком.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 штанпача</w:t>
      </w:r>
      <w:r>
        <w:rPr>
          <w:sz w:val="28"/>
          <w:szCs w:val="28"/>
        </w:rPr>
        <w:tab/>
        <w:t xml:space="preserve">   6 ком.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 клима уређаја</w:t>
      </w:r>
      <w:r>
        <w:rPr>
          <w:sz w:val="28"/>
          <w:szCs w:val="28"/>
        </w:rPr>
        <w:tab/>
        <w:t>6 ком.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адсл модел „Телеком Србија“     1 ком.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 факс „Панас</w:t>
      </w:r>
      <w:r>
        <w:rPr>
          <w:sz w:val="28"/>
          <w:szCs w:val="28"/>
        </w:rPr>
        <w:t>оник“     1 ком.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 телефони</w:t>
      </w:r>
      <w:r>
        <w:rPr>
          <w:sz w:val="28"/>
          <w:szCs w:val="28"/>
        </w:rPr>
        <w:tab/>
        <w:t xml:space="preserve">    3 ком.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телефонска централа</w:t>
      </w:r>
      <w:r>
        <w:rPr>
          <w:sz w:val="28"/>
          <w:szCs w:val="28"/>
        </w:rPr>
        <w:tab/>
        <w:t xml:space="preserve">  1 ком.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 штампач “Лексмарк“</w:t>
      </w:r>
      <w:r>
        <w:rPr>
          <w:sz w:val="28"/>
          <w:szCs w:val="28"/>
        </w:rPr>
        <w:tab/>
        <w:t xml:space="preserve">  3.ком.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- усисивач “Горење“     1.ком.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 ради</w:t>
      </w:r>
      <w:r>
        <w:rPr>
          <w:sz w:val="28"/>
          <w:szCs w:val="28"/>
          <w:lang/>
        </w:rPr>
        <w:t>о</w:t>
      </w:r>
      <w:r>
        <w:rPr>
          <w:sz w:val="28"/>
          <w:szCs w:val="28"/>
        </w:rPr>
        <w:t xml:space="preserve"> плејер</w:t>
      </w:r>
      <w:r>
        <w:rPr>
          <w:sz w:val="28"/>
          <w:szCs w:val="28"/>
        </w:rPr>
        <w:tab/>
        <w:t>1ком.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фрижидер “Горење”</w:t>
      </w:r>
      <w:r>
        <w:rPr>
          <w:sz w:val="28"/>
          <w:szCs w:val="28"/>
        </w:rPr>
        <w:tab/>
        <w:t xml:space="preserve"> 1 ком.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3.КАНЦЕЛАРИСКА ОПРЕМА у вредности </w:t>
      </w:r>
      <w:r>
        <w:rPr>
          <w:b/>
          <w:bCs/>
          <w:sz w:val="28"/>
          <w:szCs w:val="28"/>
        </w:rPr>
        <w:t>356.485,60</w:t>
      </w:r>
      <w:r>
        <w:rPr>
          <w:sz w:val="28"/>
          <w:szCs w:val="28"/>
        </w:rPr>
        <w:t xml:space="preserve"> динара,(намештај, ст</w:t>
      </w:r>
      <w:r>
        <w:rPr>
          <w:sz w:val="28"/>
          <w:szCs w:val="28"/>
        </w:rPr>
        <w:t>олови,ормани и др.)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center"/>
      </w:pPr>
      <w:r>
        <w:rPr>
          <w:b/>
          <w:bCs/>
          <w:sz w:val="28"/>
          <w:szCs w:val="28"/>
          <w:lang/>
        </w:rPr>
        <w:t xml:space="preserve">6. </w:t>
      </w:r>
      <w:r>
        <w:rPr>
          <w:b/>
          <w:bCs/>
          <w:sz w:val="28"/>
          <w:szCs w:val="28"/>
        </w:rPr>
        <w:t>ОПИС УСЛУГА КОЈЕ ОСНОВНО ЈАВНО ТУЖИЛАШТВО ПРУЖА</w:t>
      </w:r>
    </w:p>
    <w:p w:rsidR="00157E5D" w:rsidRDefault="00157E5D">
      <w:pPr>
        <w:pStyle w:val="Standard"/>
        <w:jc w:val="center"/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Јавно тужилаштво је самостални државни орган, који гони учиниоце кривичних дела и других кажњивих дела и предузима мере за заштиту уставности и законитости.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…/</w:t>
      </w:r>
      <w:r>
        <w:rPr>
          <w:sz w:val="28"/>
          <w:szCs w:val="28"/>
          <w:lang/>
        </w:rPr>
        <w:t>6...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У оквиру остваривања ове функције, у јавном тужилаштву се примају кривичне пријаве и други поднесци које подносе заинтересована лица, примају се пријаве на записн</w:t>
      </w:r>
      <w:r>
        <w:rPr>
          <w:sz w:val="28"/>
          <w:szCs w:val="28"/>
        </w:rPr>
        <w:t>ик, пружају обавештења лицима која за то имају интерес о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поступању по појединим предметима и саопштавају подаци са којима располаже јавно тужилаштво.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center"/>
      </w:pPr>
      <w:r>
        <w:rPr>
          <w:b/>
          <w:bCs/>
          <w:sz w:val="28"/>
          <w:szCs w:val="28"/>
          <w:lang/>
        </w:rPr>
        <w:t xml:space="preserve">7. </w:t>
      </w:r>
      <w:r>
        <w:rPr>
          <w:b/>
          <w:bCs/>
          <w:sz w:val="28"/>
          <w:szCs w:val="28"/>
        </w:rPr>
        <w:t>ПОСТУПАК ПОДНОШЕЊА ЗАХТЕВА ЈАВНОМ ТУЖИЛАШТВУ  ЗА ПРИСТУП ИНФОРМАЦИЈАМА ОД ЈАВНОГ ЗНАЧАЈА И ПОСТУПАК ПОСТУПАЊА ПО ПОДНЕТИМ ЗАХТЕВИМА</w:t>
      </w:r>
    </w:p>
    <w:p w:rsidR="00157E5D" w:rsidRDefault="007D314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57E5D" w:rsidRDefault="007D314E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Захтев тражиоца информација од јавног значаја, подноси се у писменој </w:t>
      </w:r>
      <w:r>
        <w:rPr>
          <w:sz w:val="28"/>
          <w:szCs w:val="28"/>
        </w:rPr>
        <w:t>форми.Захтев треба да садржи име, презиме и адресу тражиоца информације, што прецизнији опис информације која се тражи и друге податке који олакшавају проналажење тражене информације. Тражилац није дужан да наведе разлоге за подношење захтева.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Уколико зах</w:t>
      </w:r>
      <w:r>
        <w:rPr>
          <w:sz w:val="28"/>
          <w:szCs w:val="28"/>
        </w:rPr>
        <w:t>тев не садржи наведене елементе, односно ако није уредан, овлашћено лице тужилаштва дужно је да поучи тражиоца Упутством о допуни, како би ти недостаци били одклоњени. Ако тражилац у року од 15 дана од дана пријема упутства, по истом не поступи, а недостац</w:t>
      </w:r>
      <w:r>
        <w:rPr>
          <w:sz w:val="28"/>
          <w:szCs w:val="28"/>
        </w:rPr>
        <w:t>и су такви да се по захтеву не може поступати, овлашћено лице тужилаштва доноси закључак о одбацивању захтева као неуредног. Против овог захтева тражилац има право жалбе.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Тужилаштво је дужно да омогући приступ информацијама у службеним просторијама тужила</w:t>
      </w:r>
      <w:r>
        <w:rPr>
          <w:sz w:val="28"/>
          <w:szCs w:val="28"/>
        </w:rPr>
        <w:t>штва и на основу усменог захтева тражиоца, који се саопштава на записник и уноси у пословну евиденцију. Рокови се рачунају као да је захтев поднет у писменој форми.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Увид у документ који садржи тражене информације је бесплатан.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Тужилаштво је дужно да без </w:t>
      </w:r>
      <w:r>
        <w:rPr>
          <w:sz w:val="28"/>
          <w:szCs w:val="28"/>
        </w:rPr>
        <w:t>одлагања, а најкасније од 15 дана, од дана пријема захтева, тражиоца обавештења о поседовању информације, стави му на увид документ који садржи тражене информације, односно изда му или упути копију тог документа.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Копија документа је упућена тражиоцу даном</w:t>
      </w:r>
      <w:r>
        <w:rPr>
          <w:sz w:val="28"/>
          <w:szCs w:val="28"/>
        </w:rPr>
        <w:t xml:space="preserve"> напуштања писарнице органа власти од кога је информација тражена.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Ако орган власти није у могућности  из оправданих разлога да у року обавести тражиоца, о поступању информација, да му стави на увид документ који садржи тражену информацију, да му изда, од</w:t>
      </w:r>
      <w:r>
        <w:rPr>
          <w:sz w:val="28"/>
          <w:szCs w:val="28"/>
        </w:rPr>
        <w:t>носно упути копију тог документа, дужан је да о томе, најкасније од 7 дана, од дана пријема захтева, обавести тражиоца и одреди накнадни рок, који не може бити дужи од 40 дана од дана пријема захтева.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Ако се захтев односи на информацију за коју се може пр</w:t>
      </w:r>
      <w:r>
        <w:rPr>
          <w:sz w:val="28"/>
          <w:szCs w:val="28"/>
        </w:rPr>
        <w:t xml:space="preserve">етпоставити да је од значаја за заштиту живота и слободе неког лица, односно за угрожавање или заштиту здравља становништва и животне средине, тужилаштво мора да обавести тражиоца о поседовању те информације, да му стави на увид  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…/</w:t>
      </w:r>
      <w:r>
        <w:rPr>
          <w:sz w:val="28"/>
          <w:szCs w:val="28"/>
          <w:lang/>
        </w:rPr>
        <w:t>7...</w:t>
      </w:r>
    </w:p>
    <w:p w:rsidR="00157E5D" w:rsidRDefault="00157E5D">
      <w:pPr>
        <w:pStyle w:val="Standard"/>
        <w:jc w:val="both"/>
        <w:rPr>
          <w:sz w:val="28"/>
          <w:szCs w:val="28"/>
          <w:lang/>
        </w:rPr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документ који садржи тражену информацију, односно да му изда копију тог документа најкасније у року од 48. сати од пријема захтева.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Ако тужилаштво на захтев не од</w:t>
      </w:r>
      <w:r>
        <w:rPr>
          <w:sz w:val="28"/>
          <w:szCs w:val="28"/>
        </w:rPr>
        <w:t>говори у року, тражилац може уложити жалбу Поверенику, осим у случајевима утврђеним овим законом.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Тужилаштво ће заједно са обавештењем о томе да ће тражиоцу ставити на увид документ који садржи тражену информацију, односно издати му копију тог документа</w:t>
      </w:r>
      <w:r>
        <w:rPr>
          <w:sz w:val="28"/>
          <w:szCs w:val="28"/>
        </w:rPr>
        <w:t>, саопштити тражиоцу време, место и начин на који ће му информација бити стављена на увид, износ нужних трошкова, износ копије докумената, а у случају да не располаже техничким средствима за израду копија, упознаће тражиоца са могућности да употребом своје</w:t>
      </w:r>
      <w:r>
        <w:rPr>
          <w:sz w:val="28"/>
          <w:szCs w:val="28"/>
        </w:rPr>
        <w:t xml:space="preserve"> опреме изради копије.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Увид у документ који садржи тражену информацију врши се у службеним просторијама тужилаштва.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Тражилац може из оправданих разлога затражити увид у документ који садржи тражену информацију, изврши у друго време од времена које му је </w:t>
      </w:r>
      <w:r>
        <w:rPr>
          <w:sz w:val="28"/>
          <w:szCs w:val="28"/>
        </w:rPr>
        <w:t>одредио орган, од кога је информација тражена.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Лице које није у стању без пратиоца извршити увид у документ, који садржи тражену информацију, омогућује се да то учини уз помоћ пратиоца.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Ако удовољи захтеву, тужилаштво неће издати посебно решење, него ће </w:t>
      </w:r>
      <w:r>
        <w:rPr>
          <w:sz w:val="28"/>
          <w:szCs w:val="28"/>
        </w:rPr>
        <w:t>о томе сачинити службену белешку.</w:t>
      </w:r>
      <w:r>
        <w:rPr>
          <w:sz w:val="28"/>
          <w:szCs w:val="28"/>
        </w:rPr>
        <w:tab/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Ако тужилаштво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дужан је да без од</w:t>
      </w:r>
      <w:r>
        <w:rPr>
          <w:sz w:val="28"/>
          <w:szCs w:val="28"/>
        </w:rPr>
        <w:t>лагања најкасније у року од 15. дана, од дана пријема захтева, донесе решење о одбијању захтева и да то решење писмено образложи, као и да решењем упути тражиоца на правна средства која може изјавити против таквог решења.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Тужилаштво неће омогућити оствари</w:t>
      </w:r>
      <w:r>
        <w:rPr>
          <w:sz w:val="28"/>
          <w:szCs w:val="28"/>
        </w:rPr>
        <w:t>вање права на приступ информацијама од јавног значаја ако би тиме:</w:t>
      </w:r>
    </w:p>
    <w:p w:rsidR="00157E5D" w:rsidRDefault="007D314E">
      <w:pPr>
        <w:pStyle w:val="Standar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угрозио живот, здравље, сигурност или које друго важно добро неког лица;</w:t>
      </w:r>
    </w:p>
    <w:p w:rsidR="00157E5D" w:rsidRDefault="007D314E">
      <w:pPr>
        <w:pStyle w:val="Standar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угрозио, омео или отежао спречавање или откривање кривичног дела, оптужење за кривично дело, вођење кривичног поступ</w:t>
      </w:r>
      <w:r>
        <w:rPr>
          <w:sz w:val="28"/>
          <w:szCs w:val="28"/>
        </w:rPr>
        <w:t>ка, вођење судског поступка, извршење пресуде или спровођење казне или који други правно уређени поступак или фер поступање и правично суђење;</w:t>
      </w:r>
    </w:p>
    <w:p w:rsidR="00157E5D" w:rsidRDefault="007D314E">
      <w:pPr>
        <w:pStyle w:val="Standar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озбиљно угрозио одбрану земље, националну или јавну безбедност или међународне односе;</w:t>
      </w:r>
    </w:p>
    <w:p w:rsidR="00157E5D" w:rsidRDefault="007D314E">
      <w:pPr>
        <w:pStyle w:val="Standar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битно умањио способност др</w:t>
      </w:r>
      <w:r>
        <w:rPr>
          <w:sz w:val="28"/>
          <w:szCs w:val="28"/>
        </w:rPr>
        <w:t>жаве да управља економским процесима у земљи или битно отежао остварење оправданих економских интереса;</w:t>
      </w:r>
    </w:p>
    <w:p w:rsidR="00157E5D" w:rsidRDefault="007D314E">
      <w:pPr>
        <w:pStyle w:val="Standard"/>
        <w:numPr>
          <w:ilvl w:val="1"/>
          <w:numId w:val="1"/>
        </w:numPr>
        <w:jc w:val="both"/>
      </w:pPr>
      <w:r>
        <w:rPr>
          <w:sz w:val="28"/>
          <w:szCs w:val="28"/>
        </w:rPr>
        <w:t>учинио доступним информацију или документ за који је прописима или службеним актом заснованим на закону, одређено да се чувао као државна, службена, пос</w:t>
      </w:r>
      <w:r>
        <w:rPr>
          <w:sz w:val="28"/>
          <w:szCs w:val="28"/>
        </w:rPr>
        <w:t>ловна или друга тајна, односно,који је доступан само одређеном кругу лица, а због чијег би одавања могле наступити тешке правене или друге последице по интересе заштићене законом који претежу над интересима за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                             …/</w:t>
      </w:r>
      <w:r>
        <w:rPr>
          <w:sz w:val="28"/>
          <w:szCs w:val="28"/>
          <w:lang/>
        </w:rPr>
        <w:t>8...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>присуп информацији;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lastRenderedPageBreak/>
        <w:tab/>
        <w:t xml:space="preserve">Тужилаштво није у обавези да тражиоцу омогући остварење права на присуп информацијама од јавног значаја, ако исти то право злоупотребљава, нарочито ако </w:t>
      </w:r>
      <w:r>
        <w:rPr>
          <w:sz w:val="28"/>
          <w:szCs w:val="28"/>
        </w:rPr>
        <w:t>је тражење неразунмо, често, када се понавља захтев за истим или већ добијеним информацијама или када се тражи превелик број информација.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                                                                                           </w:t>
      </w:r>
    </w:p>
    <w:p w:rsidR="00157E5D" w:rsidRDefault="007D314E">
      <w:pPr>
        <w:pStyle w:val="Standard"/>
        <w:jc w:val="center"/>
      </w:pPr>
      <w:r>
        <w:rPr>
          <w:b/>
          <w:bCs/>
          <w:sz w:val="28"/>
          <w:szCs w:val="28"/>
          <w:lang/>
        </w:rPr>
        <w:t xml:space="preserve">8. </w:t>
      </w:r>
      <w:r>
        <w:rPr>
          <w:b/>
          <w:bCs/>
          <w:sz w:val="28"/>
          <w:szCs w:val="28"/>
        </w:rPr>
        <w:t>ПРЕГЛЕД ЗАХТЕВА, ЖАЛБИ</w:t>
      </w:r>
      <w:r>
        <w:rPr>
          <w:b/>
          <w:bCs/>
          <w:sz w:val="28"/>
          <w:szCs w:val="28"/>
        </w:rPr>
        <w:t xml:space="preserve"> И ДРУГИХ НЕПОСРЕДНИХ МЕРА ПРЕДУЗЕТИХ ОД СТРАНЕ ЗАИНТЕРЕСОВАНИХ ЛИЦА, КАО И ОДЛУКЕ ДРЖАВНИХ ОРГАНА ПОВОДОМ ПОДНЕТИХ ЗАХТЕВА И УЛОЖЕНИХ ЖАЛБИ, ОДНОСНО, ОДГОВОРА НА ДРУГЕ НЕПОСРЕДНЕ МЕРЕ ПРЕДУЗЕТЕ ОД СТРАНЕ ЗАИНТЕРЕСОВАНИХ ЛИЦА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Током 201</w:t>
      </w:r>
      <w:r>
        <w:rPr>
          <w:sz w:val="28"/>
          <w:szCs w:val="28"/>
          <w:lang/>
        </w:rPr>
        <w:t>6</w:t>
      </w:r>
      <w:r>
        <w:rPr>
          <w:sz w:val="28"/>
          <w:szCs w:val="28"/>
        </w:rPr>
        <w:t xml:space="preserve">.године, Основном </w:t>
      </w:r>
      <w:r>
        <w:rPr>
          <w:sz w:val="28"/>
          <w:szCs w:val="28"/>
        </w:rPr>
        <w:t xml:space="preserve">јавном тужилаштву у Бору, упућено је укупно 16 захтева за приступ информацијама од јавног значаја, за које су подносиоци сматрали да са њима располаже ово тужилаштво. У односу на свих 16 захтева, је у потпуности удовољено достављањем тражених информација, </w:t>
      </w:r>
      <w:r>
        <w:rPr>
          <w:sz w:val="28"/>
          <w:szCs w:val="28"/>
        </w:rPr>
        <w:t>а у односу на један захтев је делимично удовољено.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Најчешће су информације тражене у вези поступања по конкретним предметима тужилаштва од стране заинтересованих лица или медија о подацима стања криминалитета по појединим кривичним делима.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/>
        </w:rPr>
        <w:t xml:space="preserve">9. </w:t>
      </w:r>
      <w:r>
        <w:rPr>
          <w:b/>
          <w:bCs/>
          <w:sz w:val="28"/>
          <w:szCs w:val="28"/>
        </w:rPr>
        <w:t>ПОДАЦИ О НА</w:t>
      </w:r>
      <w:r>
        <w:rPr>
          <w:b/>
          <w:bCs/>
          <w:sz w:val="28"/>
          <w:szCs w:val="28"/>
        </w:rPr>
        <w:t>ЧИНУ И МЕСТУ ЧУВАЊА НОСАЧА ИНФОРМАЦИЈА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Информације са којима располаже ово тужилаштво, а које се тичу рада истог, уносе се у одговарајуће уписнике и помоћне књиге, који представљају уствари носаче информација, а исте се чувају у писарници тужилаштва. Так</w:t>
      </w:r>
      <w:r>
        <w:rPr>
          <w:sz w:val="28"/>
          <w:szCs w:val="28"/>
        </w:rPr>
        <w:t>ође, исте информације се налазе и у списима предмета, по којима је поступак у току, као и у архивираним предметима, који се такође чувају у писарници.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/>
        </w:rPr>
        <w:t xml:space="preserve">10. </w:t>
      </w:r>
      <w:r>
        <w:rPr>
          <w:b/>
          <w:bCs/>
          <w:sz w:val="28"/>
          <w:szCs w:val="28"/>
        </w:rPr>
        <w:t>ИМЕ СТАРЕШИНЕ ОРГАНА И ОПИС ЊЕГОВОГ ОВЛАШЋЕЊА И ДУЖНОСТИ, КАО И ПОСТУПАК ПО КОМЕ ОНИ ДОНОСЕ ОДЛУКЕ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 xml:space="preserve">Радом јавног тужилаштва руководи вф.јавног тужиоца </w:t>
      </w:r>
      <w:r>
        <w:rPr>
          <w:sz w:val="28"/>
          <w:szCs w:val="28"/>
          <w:lang/>
        </w:rPr>
        <w:t>Славица Лукић Сталетовић</w:t>
      </w:r>
      <w:r>
        <w:rPr>
          <w:sz w:val="28"/>
          <w:szCs w:val="28"/>
        </w:rPr>
        <w:t>, која је носилац управе у јавном тужилаштву и одговорна је за правилан и благовремени рад у јавном тужилаштву (јавно тужилаштво чине: јавни тужилац, заменици јавног тужиоца и запо</w:t>
      </w:r>
      <w:r>
        <w:rPr>
          <w:sz w:val="28"/>
          <w:szCs w:val="28"/>
        </w:rPr>
        <w:t>слени који обављају стручне, административно – техничке и друге послове).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Ближе објашњење фунција у Основном јавном тужилаштву, као и опис овлашћења и дужности носиоца функција, дати су у глави 3. овог Информатора. У Основном јавном тужиалштву у Бору за п</w:t>
      </w:r>
      <w:r>
        <w:rPr>
          <w:sz w:val="28"/>
          <w:szCs w:val="28"/>
        </w:rPr>
        <w:t>оступање по захтевима за приступ информацијама од јавног значаја, задужен је јавни тужилац или заменик јавног тужиоца кога он одреди.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.../9...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center"/>
      </w:pPr>
      <w:r>
        <w:rPr>
          <w:b/>
          <w:bCs/>
          <w:sz w:val="28"/>
          <w:szCs w:val="28"/>
          <w:lang/>
        </w:rPr>
        <w:t xml:space="preserve">11. </w:t>
      </w:r>
      <w:r>
        <w:rPr>
          <w:b/>
          <w:bCs/>
          <w:sz w:val="28"/>
          <w:szCs w:val="28"/>
        </w:rPr>
        <w:t>ПРАВИ</w:t>
      </w:r>
      <w:r>
        <w:rPr>
          <w:b/>
          <w:bCs/>
          <w:sz w:val="28"/>
          <w:szCs w:val="28"/>
        </w:rPr>
        <w:t xml:space="preserve">ЛА И ОДЛУКЕ ЈАВНОГ ТУЖИЛАШТВА КОЈЕ СЕ ТИЧУ </w:t>
      </w:r>
      <w:r>
        <w:rPr>
          <w:b/>
          <w:bCs/>
          <w:sz w:val="28"/>
          <w:szCs w:val="28"/>
        </w:rPr>
        <w:lastRenderedPageBreak/>
        <w:t>ЈАВНОСТИ РАДА (радно време, адреса, контакт телефон, идентификациона обележја, приступачност лицима са посебним потребама, допуштеност аудио и видео снимања и сл.)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Радно време Основног јавног тужилаштва у Бору ј</w:t>
      </w:r>
      <w:r>
        <w:rPr>
          <w:sz w:val="28"/>
          <w:szCs w:val="28"/>
        </w:rPr>
        <w:t>е од 7,30 па до 15,30 сати. Ван прописаног радног времена се по одобрењу јавног тужиоца могу обављати само послови који не трпе одлагање.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Годишњим распоредом јавни тужилац распоређује заменике јавног тужиоца за спровођење радњи које се по одредбама процес</w:t>
      </w:r>
      <w:r>
        <w:rPr>
          <w:sz w:val="28"/>
          <w:szCs w:val="28"/>
        </w:rPr>
        <w:t>них закона сматрају хитним, а такође одређује време приправности заменика јавног тужиоца и одређених запослених за обављање послова који су хитне природе и који не трпе одлагање.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Притужба се подноси када странка има примедбе на рад заменика јавног тужиоца</w:t>
      </w:r>
      <w:r>
        <w:rPr>
          <w:sz w:val="28"/>
          <w:szCs w:val="28"/>
        </w:rPr>
        <w:t xml:space="preserve">, особља у тужилаштву, уколико сматра да се поступак одуговлачи, да се спроводи неправилно, да се утиче на његов ток и исход супротно правилима о непристрасности и објективности у поступању тужилаштва, када има примедбе на спровођење процедуре и третман у </w:t>
      </w:r>
      <w:r>
        <w:rPr>
          <w:sz w:val="28"/>
          <w:szCs w:val="28"/>
        </w:rPr>
        <w:t>поступку пред тужилаштвом.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Притужба на рад тужилаштва се може поднети писмено или усмено јавном тужиоцу или заменику кога он одреди.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Писмена притужба треба да садржи:</w:t>
      </w:r>
    </w:p>
    <w:p w:rsidR="00157E5D" w:rsidRDefault="007D314E">
      <w:pPr>
        <w:pStyle w:val="Standar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наслов „Основном јавном тужилаштву у Бору“, са назнаком „за јавног тужиоца“</w:t>
      </w:r>
    </w:p>
    <w:p w:rsidR="00157E5D" w:rsidRDefault="007D314E">
      <w:pPr>
        <w:pStyle w:val="Standar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означен бро</w:t>
      </w:r>
      <w:r>
        <w:rPr>
          <w:sz w:val="28"/>
          <w:szCs w:val="28"/>
        </w:rPr>
        <w:t>ј предмета на који се притужба односи;</w:t>
      </w:r>
    </w:p>
    <w:p w:rsidR="00157E5D" w:rsidRDefault="007D314E">
      <w:pPr>
        <w:pStyle w:val="Standar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разлог због кога се подноси;</w:t>
      </w:r>
    </w:p>
    <w:p w:rsidR="00157E5D" w:rsidRDefault="007D314E">
      <w:pPr>
        <w:pStyle w:val="Standar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пуно име и презима и тачна адреса притужиоца;</w:t>
      </w:r>
    </w:p>
    <w:p w:rsidR="00157E5D" w:rsidRDefault="007D314E">
      <w:pPr>
        <w:pStyle w:val="Standar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писмена притужба се упућује на следећу адресу: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Основно јавно тужилаштво у Бору,</w:t>
      </w:r>
    </w:p>
    <w:p w:rsidR="00157E5D" w:rsidRDefault="007D314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Јавном тужиоцу,</w:t>
      </w:r>
    </w:p>
    <w:p w:rsidR="00157E5D" w:rsidRDefault="007D314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ул. Моше Пијаде бр. 3,</w:t>
      </w:r>
    </w:p>
    <w:p w:rsidR="00157E5D" w:rsidRDefault="007D314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19210 Бор.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Јавни тужилац разматра основаност притужба и у ро</w:t>
      </w:r>
      <w:r>
        <w:rPr>
          <w:sz w:val="28"/>
          <w:szCs w:val="28"/>
        </w:rPr>
        <w:t>ку од 15 дана од пријема притужбе је дужан да писмено обавести притужиоца о предузетим мерама.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Ако је притужба поднета преко Републичког, Апелационог или Вишег јавног тужилаштва, о основаности притужби предузетим мерама обавести ће се та тужилаштва.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Пријем странака у Основном јавном тужилаштву у Бору се врши свакодневно, без одређивања времена у току радног времена. Пријем странака врши јавни тужилац или заменик кога он одреди.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...</w:t>
      </w:r>
      <w:r>
        <w:rPr>
          <w:sz w:val="28"/>
          <w:szCs w:val="28"/>
          <w:lang/>
        </w:rPr>
        <w:t>10...</w:t>
      </w:r>
    </w:p>
    <w:p w:rsidR="00157E5D" w:rsidRDefault="00157E5D">
      <w:pPr>
        <w:pStyle w:val="Standard"/>
        <w:jc w:val="both"/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Информисање медија и јавности о раду Основног јавног тужилаштва врши јавни тужилац или први заменик јавног тужиоца, на њихо</w:t>
      </w:r>
      <w:r>
        <w:rPr>
          <w:sz w:val="28"/>
          <w:szCs w:val="28"/>
          <w:lang/>
        </w:rPr>
        <w:t xml:space="preserve">в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захтев, али и када таквог захтева нема, ако се ради о информацијама од јавног значаја или од значаја за очување угледа тужилаштва, као и о информацијама у кривичним предметима који су изазвали веће интересовање јавности, већу медијску пажњу или</w:t>
      </w:r>
      <w:r>
        <w:rPr>
          <w:sz w:val="28"/>
          <w:szCs w:val="28"/>
        </w:rPr>
        <w:t xml:space="preserve"> су од значаја за већи број грађана.</w:t>
      </w: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ab/>
        <w:t>Фотографисање и аудио и видео снимања у просторијама Основног јавног тужилаштва, може се обавити само уз предходно прибаљено писмено одобрење тужиоца. Приликом давања одобрења за фотографисање и снимање водиће се рачун</w:t>
      </w:r>
      <w:r>
        <w:rPr>
          <w:sz w:val="28"/>
          <w:szCs w:val="28"/>
        </w:rPr>
        <w:t>а о интересовању јавности, инеересу поступка, заштити приватности и заштити безбедности учесника у поступку.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/>
        </w:rPr>
        <w:t xml:space="preserve">12. </w:t>
      </w:r>
      <w:r>
        <w:rPr>
          <w:b/>
          <w:bCs/>
          <w:sz w:val="28"/>
          <w:szCs w:val="28"/>
        </w:rPr>
        <w:t>ПРАВИЛА И ОДЛУКЕ О ИСКЉУЧЕЊУ И ОГРАНИЧЕЊУ ЈАВНОСТИ РАДА ЈАВНОГ ТУЖИЛАШТВА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Јавност рада тужилаштва давањем обавештења о току поступка заинтер</w:t>
      </w:r>
      <w:r>
        <w:rPr>
          <w:sz w:val="28"/>
          <w:szCs w:val="28"/>
        </w:rPr>
        <w:t>есованим лицима, обавештавањем јавности о раду тужилаштва путем средстава јавног информисања и објављивање саопштења.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Јавни тужилац, заменици и тужилачко особље су у складу са одредбом чл.97. ст.1. Устава Републике Србије дужни да обезбеде потребне услове</w:t>
      </w:r>
      <w:r>
        <w:rPr>
          <w:sz w:val="28"/>
          <w:szCs w:val="28"/>
        </w:rPr>
        <w:t xml:space="preserve"> за јавност рада и одговарајући приступ медијима, у погледу актуелних информација и поступака који се воде у тужилаштву, водећи рачуна о интересима поступака, приватности и безбедности учесника у поступку. Такође, одредбом чл.97. ст.2. Устава Републике Срб</w:t>
      </w:r>
      <w:r>
        <w:rPr>
          <w:sz w:val="28"/>
          <w:szCs w:val="28"/>
        </w:rPr>
        <w:t>ије  регулисано да ради чувања тајне, заштите морала, интереса малолетника и заштите других општих интереса, могуће је искључити јавност и то у законом одређеним случајевима.</w:t>
      </w:r>
    </w:p>
    <w:p w:rsidR="00157E5D" w:rsidRDefault="007D314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погледу ограничавања права на информисање и извештавања јавности у судском пос</w:t>
      </w:r>
      <w:r>
        <w:rPr>
          <w:sz w:val="28"/>
          <w:szCs w:val="28"/>
        </w:rPr>
        <w:t>тупку одредбом чл.3. Законика о кривичном поступку је регулисано да су државни органи, средства јавног обавештавања, удружења грађана, јавне личности и друга лица, дужни да се придржавају правила, да нико не може бити сматран кривим за кривично дело, док н</w:t>
      </w:r>
      <w:r>
        <w:rPr>
          <w:sz w:val="28"/>
          <w:szCs w:val="28"/>
        </w:rPr>
        <w:t>е буде утврђено правноснажном одлуком надлежног суда и да својим јавним изјавама у кривичном поступку који је у току не вређају друга правила поступка, права окривљеног и оштећеног као и начело независности.</w:t>
      </w:r>
    </w:p>
    <w:p w:rsidR="00157E5D" w:rsidRDefault="00157E5D">
      <w:pPr>
        <w:pStyle w:val="Standard"/>
        <w:jc w:val="both"/>
        <w:rPr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Вф.ЈАВНОГ ТУЖИОЦА</w:t>
      </w:r>
    </w:p>
    <w:p w:rsidR="00157E5D" w:rsidRDefault="007D314E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  <w:lang/>
        </w:rPr>
        <w:t>Славица Лукић Сталетовић</w:t>
      </w: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157E5D">
      <w:pPr>
        <w:pStyle w:val="Standard"/>
        <w:jc w:val="both"/>
        <w:rPr>
          <w:b/>
          <w:bCs/>
          <w:sz w:val="28"/>
          <w:szCs w:val="28"/>
        </w:rPr>
      </w:pPr>
    </w:p>
    <w:p w:rsidR="00157E5D" w:rsidRDefault="007D314E">
      <w:pPr>
        <w:pStyle w:val="Standard"/>
        <w:jc w:val="both"/>
      </w:pPr>
      <w:r>
        <w:rPr>
          <w:b/>
          <w:bCs/>
          <w:sz w:val="28"/>
          <w:szCs w:val="28"/>
        </w:rPr>
        <w:tab/>
        <w:t xml:space="preserve">Напомена: </w:t>
      </w:r>
      <w:r>
        <w:rPr>
          <w:sz w:val="28"/>
          <w:szCs w:val="28"/>
        </w:rPr>
        <w:t xml:space="preserve">Овај информатор је дана </w:t>
      </w:r>
      <w:r>
        <w:rPr>
          <w:sz w:val="28"/>
          <w:szCs w:val="28"/>
          <w:lang/>
        </w:rPr>
        <w:t>06.02.2017</w:t>
      </w:r>
      <w:r>
        <w:rPr>
          <w:sz w:val="28"/>
          <w:szCs w:val="28"/>
        </w:rPr>
        <w:t xml:space="preserve">.године истакнут на огласној табли овог </w:t>
      </w:r>
      <w:r>
        <w:rPr>
          <w:sz w:val="28"/>
          <w:szCs w:val="28"/>
        </w:rPr>
        <w:t>тужилаштва, како би био доступан заинтересованим лицима, где ће се налазити до израде новог информатора о раду и његовог истицања на огласној табли.</w:t>
      </w:r>
    </w:p>
    <w:sectPr w:rsidR="00157E5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4E" w:rsidRDefault="007D314E">
      <w:r>
        <w:separator/>
      </w:r>
    </w:p>
  </w:endnote>
  <w:endnote w:type="continuationSeparator" w:id="0">
    <w:p w:rsidR="007D314E" w:rsidRDefault="007D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4E" w:rsidRDefault="007D314E">
      <w:r>
        <w:rPr>
          <w:color w:val="000000"/>
        </w:rPr>
        <w:separator/>
      </w:r>
    </w:p>
  </w:footnote>
  <w:footnote w:type="continuationSeparator" w:id="0">
    <w:p w:rsidR="007D314E" w:rsidRDefault="007D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A714A"/>
    <w:multiLevelType w:val="multilevel"/>
    <w:tmpl w:val="D41CE6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73ED22FC"/>
    <w:multiLevelType w:val="multilevel"/>
    <w:tmpl w:val="AAEC9B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7E5D"/>
    <w:rsid w:val="00157E5D"/>
    <w:rsid w:val="007D314E"/>
    <w:rsid w:val="00D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215E6-179B-497B-B681-B259555E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itle">
    <w:name w:val="Title"/>
    <w:basedOn w:val="Standard"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80;&#1085;&#1092;&#1086;&#1088;&#1084;&#1072;&#1090;&#1086;&#1088;%20&#1086;%20&#1088;&#1072;&#1076;&#1091;%202015%201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TUZILASTVO-1</dc:creator>
  <cp:lastModifiedBy>Braca</cp:lastModifiedBy>
  <cp:revision>2</cp:revision>
  <cp:lastPrinted>2017-06-06T08:40:00Z</cp:lastPrinted>
  <dcterms:created xsi:type="dcterms:W3CDTF">2017-06-16T08:54:00Z</dcterms:created>
  <dcterms:modified xsi:type="dcterms:W3CDTF">2017-06-16T08:54:00Z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